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7"/>
        <w:tblW w:w="10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6"/>
        <w:gridCol w:w="5559"/>
      </w:tblGrid>
      <w:tr>
        <w:tblPrEx/>
        <w:trPr>
          <w:trHeight w:val="426"/>
        </w:trPr>
        <w:tc>
          <w:tcPr>
            <w:tcW w:w="4506" w:type="dxa"/>
            <w:textDirection w:val="lrTb"/>
            <w:noWrap w:val="false"/>
          </w:tcPr>
          <w:p>
            <w:pPr>
              <w:rPr>
                <w:rFonts w:ascii="Inter V" w:hAnsi="Inter V" w:cs="Times New Roman"/>
                <w:b/>
                <w:sz w:val="28"/>
                <w:szCs w:val="28"/>
              </w:rPr>
            </w:pPr>
            <w:r>
              <w:rPr>
                <w:rFonts w:ascii="Inter V" w:hAnsi="Inter V" w:cs="Times New Roman"/>
                <w:b/>
                <w:sz w:val="28"/>
                <w:szCs w:val="28"/>
              </w:rPr>
            </w:r>
            <w:r>
              <w:rPr>
                <w:rFonts w:ascii="Inter V" w:hAnsi="Inter V" w:cs="Times New Roman"/>
                <w:b/>
                <w:sz w:val="28"/>
                <w:szCs w:val="28"/>
              </w:rPr>
            </w:r>
            <w:r>
              <w:rPr>
                <w:rFonts w:ascii="Inter V" w:hAnsi="Inter V" w:cs="Times New Roman"/>
                <w:b/>
                <w:sz w:val="28"/>
                <w:szCs w:val="28"/>
              </w:rPr>
            </w:r>
          </w:p>
        </w:tc>
        <w:tc>
          <w:tcPr>
            <w:tcW w:w="55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>
          <w:trHeight w:val="994"/>
        </w:trPr>
        <w:tc>
          <w:tcPr>
            <w:tcW w:w="45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26780" cy="942975"/>
                      <wp:effectExtent l="0" t="0" r="2540" b="0"/>
                      <wp:docPr id="1" name="Рисунок 1" descr="C:\Users\gomanenko_gv\Desktop\герб длинный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gomanenko_gv\Desktop\герб длинный.jp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1727" cy="9662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75.34pt;height:74.25pt;mso-wrap-distance-left:0.00pt;mso-wrap-distance-top:0.00pt;mso-wrap-distance-right:0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559" w:type="dxa"/>
            <w:textDirection w:val="lrTb"/>
            <w:noWrap w:val="false"/>
          </w:tcPr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jc w:val="right"/>
              <w:rPr>
                <w:rFonts w:ascii="Inter V" w:hAnsi="Inter V" w:cs="Times New Roman"/>
                <w:b/>
              </w:rPr>
            </w:pPr>
            <w:r>
              <w:rPr>
                <w:rFonts w:ascii="Inter V" w:hAnsi="Inter V" w:cs="Times New Roman"/>
                <w:b/>
              </w:rPr>
            </w:r>
            <w:r>
              <w:rPr>
                <w:rFonts w:ascii="Inter V" w:hAnsi="Inter V" w:cs="Times New Roman"/>
                <w:b/>
              </w:rPr>
            </w:r>
            <w:r>
              <w:rPr>
                <w:rFonts w:ascii="Inter V" w:hAnsi="Inter V" w:cs="Times New Roman"/>
                <w:b/>
              </w:rPr>
            </w:r>
          </w:p>
        </w:tc>
      </w:tr>
    </w:tbl>
    <w:p>
      <w:pPr>
        <w:jc w:val="right"/>
        <w:spacing w:line="240" w:lineRule="auto"/>
        <w:tabs>
          <w:tab w:val="left" w:pos="567" w:leader="none"/>
        </w:tabs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</w:r>
      <w:r>
        <w:rPr>
          <w:rFonts w:ascii="Arial" w:hAnsi="Arial" w:cs="Arial"/>
          <w:color w:val="202122"/>
          <w:shd w:val="clear" w:color="auto" w:fill="ffffff"/>
        </w:rPr>
        <w:t xml:space="preserve">7 августа 2026</w:t>
      </w:r>
      <w:r>
        <w:rPr>
          <w:rFonts w:ascii="Arial" w:hAnsi="Arial" w:cs="Arial"/>
          <w:color w:val="202122"/>
          <w:shd w:val="clear" w:color="auto" w:fill="ffffff"/>
        </w:rPr>
      </w:r>
      <w:r>
        <w:rPr>
          <w:rFonts w:ascii="Arial" w:hAnsi="Arial" w:cs="Arial"/>
          <w:color w:val="202122"/>
          <w:shd w:val="clear" w:color="auto" w:fill="ffffff"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/>
          <w:color w:val="202122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202122"/>
          <w:sz w:val="24"/>
          <w:szCs w:val="24"/>
          <w:shd w:val="clear" w:color="auto" w:fill="ffffff"/>
        </w:rPr>
      </w:r>
      <w:r>
        <w:rPr>
          <w:rFonts w:ascii="Arial" w:hAnsi="Arial" w:cs="Arial"/>
          <w:b/>
          <w:color w:val="202122"/>
          <w:sz w:val="24"/>
          <w:szCs w:val="24"/>
          <w:shd w:val="clear" w:color="auto" w:fill="ffffff"/>
        </w:rPr>
      </w:r>
      <w:r>
        <w:rPr>
          <w:rFonts w:ascii="Arial" w:hAnsi="Arial" w:cs="Arial"/>
          <w:b/>
          <w:color w:val="202122"/>
          <w:sz w:val="24"/>
          <w:szCs w:val="24"/>
          <w:shd w:val="clear" w:color="auto" w:fill="ffffff"/>
        </w:rPr>
      </w:r>
    </w:p>
    <w:p>
      <w:pPr>
        <w:ind w:left="30" w:right="30" w:hanging="30"/>
        <w:jc w:val="both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ind w:left="0" w:right="0" w:firstLine="709"/>
        <w:jc w:val="both"/>
        <w:spacing w:after="0" w:afterAutospacing="0" w:line="252" w:lineRule="auto"/>
        <w:rPr>
          <w:b/>
          <w:bCs/>
          <w:sz w:val="26"/>
          <w:szCs w:val="26"/>
        </w:rPr>
      </w:pPr>
      <w:r>
        <w:rPr>
          <w:rFonts w:ascii="PT Astra Serif" w:hAnsi="PT Astra Serif" w:cs="PT Astra Serif"/>
          <w:b/>
          <w:bCs/>
          <w:sz w:val="26"/>
          <w:szCs w:val="26"/>
        </w:rPr>
        <w:t xml:space="preserve">Земля для стройки: сервис для самостоятельного поиска земли</w:t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ind w:left="0" w:right="0" w:firstLine="709"/>
        <w:jc w:val="both"/>
        <w:spacing w:after="0" w:afterAutospacing="0" w:line="252" w:lineRule="auto"/>
        <w:rPr>
          <w:sz w:val="26"/>
          <w:szCs w:val="26"/>
        </w:rPr>
      </w:pP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left="0" w:right="0" w:firstLine="709"/>
        <w:jc w:val="both"/>
        <w:spacing w:after="0" w:afterAutospacing="0" w:line="252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В преддверии 70-летия Дня строителя Управление Росреестра по Иркутской области рассказывает об электронном сервисе «Земля для стройки». </w:t>
      </w:r>
      <w:r>
        <w:rPr>
          <w:rFonts w:ascii="PT Astra Serif" w:hAnsi="PT Astra Serif" w:cs="PT Astra Serif"/>
          <w:sz w:val="26"/>
          <w:szCs w:val="26"/>
        </w:rPr>
      </w:r>
    </w:p>
    <w:p>
      <w:pPr>
        <w:ind w:left="0" w:right="0" w:firstLine="709"/>
        <w:jc w:val="both"/>
        <w:spacing w:after="0" w:afterAutospacing="0" w:line="252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С его помощью можно найти земельный участок, который подходит для строитель</w:t>
      </w:r>
      <w:r>
        <w:rPr>
          <w:rFonts w:ascii="PT Astra Serif" w:hAnsi="PT Astra Serif" w:cs="PT Astra Serif"/>
          <w:sz w:val="26"/>
          <w:szCs w:val="26"/>
        </w:rPr>
        <w:t xml:space="preserve">ства жилья, посмотреть его характеристики и подать заявку на его приобретение.</w:t>
      </w:r>
      <w:r>
        <w:rPr>
          <w:rFonts w:ascii="PT Astra Serif" w:hAnsi="PT Astra Serif" w:cs="PT Astra Serif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52" w:lineRule="auto"/>
        <w:rPr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На сегодня в этот сервис уже включено большое количество земель Иркутской области - в настоящее время доступно 5834 участков общей площадью 4315 га, из них: для индивидуального жилищного строительства – 3476 га, для многоквартирного - 839 га.</w:t>
      </w:r>
      <w:r>
        <w:rPr>
          <w:rFonts w:ascii="PT Astra Serif" w:hAnsi="PT Astra Serif" w:cs="PT Astra Serif"/>
          <w:sz w:val="26"/>
          <w:szCs w:val="26"/>
        </w:rPr>
      </w:r>
    </w:p>
    <w:p>
      <w:pPr>
        <w:ind w:left="0" w:right="0" w:firstLine="709"/>
        <w:jc w:val="both"/>
        <w:spacing w:after="0" w:afterAutospacing="0" w:line="252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Все доступные земельные участки можно найти в режиме онлайн на национальной платформе НСПД (Национальная система пространственных данных) по адресу https://nspd.gov.ru/.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left="0" w:right="2" w:firstLine="0"/>
        <w:jc w:val="both"/>
        <w:spacing w:line="276" w:lineRule="auto"/>
        <w:rPr>
          <w:rFonts w:ascii="Liberation Sans" w:hAnsi="Liberation Sans" w:cs="Liberation Sans"/>
          <w:b w:val="0"/>
          <w:bCs w:val="0"/>
          <w:sz w:val="26"/>
          <w:szCs w:val="26"/>
        </w:rPr>
      </w:pPr>
      <w:r>
        <w:rPr>
          <w:rFonts w:ascii="Liberation Sans" w:hAnsi="Liberation Sans" w:cs="Liberation Sans"/>
          <w:b w:val="0"/>
          <w:bCs w:val="0"/>
          <w:sz w:val="26"/>
          <w:szCs w:val="26"/>
        </w:rPr>
      </w:r>
      <w:r>
        <w:rPr>
          <w:rFonts w:ascii="Liberation Sans" w:hAnsi="Liberation Sans" w:cs="Liberation Sans"/>
          <w:b w:val="0"/>
          <w:bCs w:val="0"/>
          <w:sz w:val="26"/>
          <w:szCs w:val="26"/>
        </w:rPr>
      </w:r>
      <w:r>
        <w:rPr>
          <w:rFonts w:ascii="Liberation Sans" w:hAnsi="Liberation Sans" w:cs="Liberation Sans"/>
          <w:b w:val="0"/>
          <w:bCs w:val="0"/>
          <w:sz w:val="26"/>
          <w:szCs w:val="26"/>
        </w:rPr>
      </w:r>
    </w:p>
    <w:p>
      <w:pPr>
        <w:jc w:val="both"/>
        <w:spacing w:after="0" w:line="240" w:lineRule="auto"/>
        <w:rPr>
          <w:rFonts w:ascii="Liberation Sans" w:hAnsi="Liberation Sans" w:cs="Liberation Sans"/>
          <w:color w:val="202122"/>
          <w:sz w:val="24"/>
          <w:szCs w:val="24"/>
        </w:rPr>
      </w:pPr>
      <w:r>
        <w:rPr>
          <w:rFonts w:ascii="Liberation Sans" w:hAnsi="Liberation Sans" w:eastAsia="Liberation Sans" w:cs="Liberation Sans"/>
          <w:color w:val="202122"/>
          <w:sz w:val="24"/>
          <w:szCs w:val="24"/>
          <w:shd w:val="clear" w:color="auto" w:fill="ffffff"/>
        </w:rPr>
      </w:r>
      <w:r>
        <w:rPr>
          <w:rFonts w:ascii="Liberation Sans" w:hAnsi="Liberation Sans" w:cs="Liberation Sans"/>
          <w:color w:val="202122"/>
          <w:sz w:val="24"/>
          <w:szCs w:val="24"/>
        </w:rPr>
      </w:r>
      <w:r>
        <w:rPr>
          <w:rFonts w:ascii="Liberation Sans" w:hAnsi="Liberation Sans" w:cs="Liberation Sans"/>
          <w:color w:val="202122"/>
          <w:sz w:val="24"/>
          <w:szCs w:val="24"/>
        </w:rPr>
      </w:r>
    </w:p>
    <w:p>
      <w:pPr>
        <w:jc w:val="both"/>
        <w:spacing w:after="0" w:line="240" w:lineRule="auto"/>
        <w:rPr>
          <w:rFonts w:ascii="Liberation Sans" w:hAnsi="Liberation Sans" w:cs="Liberation Sans"/>
          <w:color w:val="202122"/>
          <w:sz w:val="24"/>
          <w:szCs w:val="24"/>
          <w:shd w:val="clear" w:color="auto" w:fill="ffffff"/>
        </w:rPr>
      </w:pPr>
      <w:r>
        <w:rPr>
          <w:rFonts w:ascii="Liberation Sans" w:hAnsi="Liberation Sans" w:eastAsia="Liberation Sans" w:cs="Liberation Sans"/>
          <w:color w:val="202122"/>
          <w:sz w:val="24"/>
          <w:szCs w:val="24"/>
          <w:shd w:val="clear" w:color="auto" w:fill="ffffff"/>
        </w:rPr>
      </w:r>
      <w:r>
        <w:rPr>
          <w:rFonts w:ascii="Liberation Sans" w:hAnsi="Liberation Sans" w:cs="Liberation Sans"/>
          <w:color w:val="202122"/>
          <w:sz w:val="24"/>
          <w:szCs w:val="24"/>
          <w:shd w:val="clear" w:color="auto" w:fill="ffffff"/>
        </w:rPr>
      </w:r>
      <w:r>
        <w:rPr>
          <w:rFonts w:ascii="Liberation Sans" w:hAnsi="Liberation Sans" w:cs="Liberation Sans"/>
          <w:color w:val="202122"/>
          <w:sz w:val="24"/>
          <w:szCs w:val="24"/>
          <w:shd w:val="clear" w:color="auto" w:fill="ffffff"/>
        </w:rPr>
      </w:r>
    </w:p>
    <w:p>
      <w:pPr>
        <w:jc w:val="both"/>
        <w:spacing w:line="240" w:lineRule="auto"/>
        <w:tabs>
          <w:tab w:val="left" w:pos="567" w:leader="none"/>
        </w:tabs>
        <w:rPr>
          <w:rFonts w:ascii="Liberation Sans" w:hAnsi="Liberation Sans" w:cs="Liberation Sans"/>
          <w:i/>
          <w:color w:val="202122"/>
          <w:sz w:val="24"/>
          <w:szCs w:val="24"/>
          <w:shd w:val="clear" w:color="auto" w:fill="ffffff"/>
        </w:rPr>
      </w:pPr>
      <w:r>
        <w:rPr>
          <w:rFonts w:ascii="Liberation Sans" w:hAnsi="Liberation Sans" w:eastAsia="Liberation Sans" w:cs="Liberation Sans"/>
          <w:i/>
          <w:color w:val="202122"/>
          <w:sz w:val="24"/>
          <w:szCs w:val="24"/>
          <w:shd w:val="clear" w:color="auto" w:fill="ffffff"/>
        </w:rPr>
        <w:t xml:space="preserve">Пресс-служба Управления </w:t>
      </w:r>
      <w:r>
        <w:rPr>
          <w:rFonts w:ascii="Liberation Sans" w:hAnsi="Liberation Sans" w:eastAsia="Liberation Sans" w:cs="Liberation Sans"/>
          <w:i/>
          <w:color w:val="202122"/>
          <w:sz w:val="24"/>
          <w:szCs w:val="24"/>
          <w:shd w:val="clear" w:color="auto" w:fill="ffffff"/>
        </w:rPr>
        <w:t xml:space="preserve">Росреестра</w:t>
      </w:r>
      <w:r>
        <w:rPr>
          <w:rFonts w:ascii="Liberation Sans" w:hAnsi="Liberation Sans" w:eastAsia="Liberation Sans" w:cs="Liberation Sans"/>
          <w:i/>
          <w:color w:val="202122"/>
          <w:sz w:val="24"/>
          <w:szCs w:val="24"/>
          <w:shd w:val="clear" w:color="auto" w:fill="ffffff"/>
        </w:rPr>
        <w:t xml:space="preserve"> по Иркутской области</w:t>
      </w:r>
      <w:r>
        <w:rPr>
          <w:rFonts w:ascii="Liberation Sans" w:hAnsi="Liberation Sans" w:cs="Liberation Sans"/>
          <w:i/>
          <w:color w:val="202122"/>
          <w:sz w:val="24"/>
          <w:szCs w:val="24"/>
          <w:shd w:val="clear" w:color="auto" w:fill="ffffff"/>
        </w:rPr>
      </w:r>
      <w:r>
        <w:rPr>
          <w:rFonts w:ascii="Liberation Sans" w:hAnsi="Liberation Sans" w:cs="Liberation Sans"/>
          <w:i/>
          <w:color w:val="20212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09" w:right="849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imes New Roman">
    <w:panose1 w:val="02020603050405020304"/>
  </w:font>
  <w:font w:name="Inter V">
    <w:panose1 w:val="02000603000000000000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Segoe UI" w:hAnsi="Segoe UI" w:cs="Segoe UI"/>
      <w:sz w:val="18"/>
      <w:szCs w:val="18"/>
    </w:rPr>
  </w:style>
  <w:style w:type="character" w:styleId="835">
    <w:name w:val="Hyperlink"/>
    <w:basedOn w:val="830"/>
    <w:uiPriority w:val="99"/>
    <w:unhideWhenUsed/>
    <w:rPr>
      <w:color w:val="0563c1" w:themeColor="hyperlink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table" w:styleId="837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8" w:customStyle="1">
    <w:name w:val="object"/>
    <w:basedOn w:val="830"/>
  </w:style>
  <w:style w:type="paragraph" w:styleId="839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zhilyaev</cp:lastModifiedBy>
  <cp:revision>38</cp:revision>
  <dcterms:created xsi:type="dcterms:W3CDTF">2022-05-25T09:41:00Z</dcterms:created>
  <dcterms:modified xsi:type="dcterms:W3CDTF">2026-08-05T02:56:02Z</dcterms:modified>
</cp:coreProperties>
</file>